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118" w:rsidRPr="00DD4118" w:rsidRDefault="00DD4118" w:rsidP="00DD411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D411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</w:rPr>
        <w:t>DETOX</w:t>
      </w:r>
      <w:r w:rsidRPr="00DD411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</w:rPr>
        <w:br/>
      </w:r>
    </w:p>
    <w:p w:rsidR="00DD4118" w:rsidRPr="00DD4118" w:rsidRDefault="00DD4118" w:rsidP="00DD411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noProof/>
          <w:lang w:eastAsia="fr-FR"/>
        </w:rPr>
        <w:drawing>
          <wp:inline distT="0" distB="0" distL="0" distR="0">
            <wp:extent cx="4210050" cy="3048000"/>
            <wp:effectExtent l="0" t="0" r="0" b="0"/>
            <wp:docPr id="4" name="Image 4" descr="DETOX - Membrane d'étanchéité dépollua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ETOX - Membrane d'étanchéité dépolluan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31E" w:rsidRDefault="00DD4118" w:rsidP="00DD41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D4118">
        <w:rPr>
          <w:rFonts w:ascii="Times New Roman" w:eastAsia="Times New Roman" w:hAnsi="Times New Roman" w:cs="Times New Roman"/>
          <w:sz w:val="24"/>
          <w:szCs w:val="24"/>
          <w:lang w:eastAsia="fr-FR"/>
        </w:rPr>
        <w:t>DETOX, est une technologie novatrice IKO pour l'assainissement de l'air applicable à la majorité des membranes en bitume SBS IKO.</w:t>
      </w:r>
    </w:p>
    <w:p w:rsidR="0006031E" w:rsidRDefault="00DD4118" w:rsidP="00DD41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D41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Grâce à un nouveau procédé écologique pour toiture, les membranes</w:t>
      </w:r>
      <w:r w:rsidR="0006031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en bitume SBS sont enduites d'</w:t>
      </w:r>
      <w:r w:rsidRPr="00DD41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un composé de dioxyde de titane (Ti02), qui agit comme un catalyseur en provoquant, sous l'effet de la lumière du jour (rayonnement UV), la </w:t>
      </w:r>
      <w:r w:rsidR="0006031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décomposition des polluants. </w:t>
      </w:r>
    </w:p>
    <w:p w:rsidR="00DD4118" w:rsidRPr="00DD4118" w:rsidRDefault="0006031E" w:rsidP="00DD41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L'</w:t>
      </w:r>
      <w:r w:rsidR="00DD4118" w:rsidRPr="00DD4118">
        <w:rPr>
          <w:rFonts w:ascii="Times New Roman" w:eastAsia="Times New Roman" w:hAnsi="Times New Roman" w:cs="Times New Roman"/>
          <w:sz w:val="24"/>
          <w:szCs w:val="24"/>
          <w:lang w:eastAsia="fr-FR"/>
        </w:rPr>
        <w:t>oxyde d'azote (</w:t>
      </w:r>
      <w:proofErr w:type="spellStart"/>
      <w:r w:rsidR="00DD4118" w:rsidRPr="00DD4118">
        <w:rPr>
          <w:rFonts w:ascii="Times New Roman" w:eastAsia="Times New Roman" w:hAnsi="Times New Roman" w:cs="Times New Roman"/>
          <w:sz w:val="24"/>
          <w:szCs w:val="24"/>
          <w:lang w:eastAsia="fr-FR"/>
        </w:rPr>
        <w:t>NOx</w:t>
      </w:r>
      <w:proofErr w:type="spellEnd"/>
      <w:r w:rsidR="00DD4118" w:rsidRPr="00DD41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) est transformé en substance inoffensive et écologiquement neutre et ensuite nettoyées par la pluie, améliorant ainsi sensiblement la qualité de l'air </w:t>
      </w:r>
    </w:p>
    <w:p w:rsidR="000E2565" w:rsidRPr="000E2565" w:rsidRDefault="000E2565" w:rsidP="000E25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E2565">
        <w:rPr>
          <w:rFonts w:ascii="Times New Roman" w:eastAsia="Times New Roman" w:hAnsi="Times New Roman" w:cs="Times New Roman"/>
          <w:sz w:val="24"/>
          <w:szCs w:val="24"/>
          <w:lang w:eastAsia="fr-FR"/>
        </w:rPr>
        <w:t>Effet dépolluant: destruction des oxydes d’azote (</w:t>
      </w:r>
      <w:proofErr w:type="spellStart"/>
      <w:r w:rsidRPr="000E2565">
        <w:rPr>
          <w:rFonts w:ascii="Times New Roman" w:eastAsia="Times New Roman" w:hAnsi="Times New Roman" w:cs="Times New Roman"/>
          <w:sz w:val="24"/>
          <w:szCs w:val="24"/>
          <w:lang w:eastAsia="fr-FR"/>
        </w:rPr>
        <w:t>NOx</w:t>
      </w:r>
      <w:proofErr w:type="spellEnd"/>
      <w:r w:rsidRPr="000E2565">
        <w:rPr>
          <w:rFonts w:ascii="Times New Roman" w:eastAsia="Times New Roman" w:hAnsi="Times New Roman" w:cs="Times New Roman"/>
          <w:sz w:val="24"/>
          <w:szCs w:val="24"/>
          <w:lang w:eastAsia="fr-FR"/>
        </w:rPr>
        <w:t>) </w:t>
      </w:r>
    </w:p>
    <w:p w:rsidR="000E2565" w:rsidRPr="000E2565" w:rsidRDefault="000E2565" w:rsidP="000E25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E2565">
        <w:rPr>
          <w:rFonts w:ascii="Times New Roman" w:eastAsia="Times New Roman" w:hAnsi="Times New Roman" w:cs="Times New Roman"/>
          <w:sz w:val="24"/>
          <w:szCs w:val="24"/>
          <w:lang w:eastAsia="fr-FR"/>
        </w:rPr>
        <w:t>Pose simple et sécurisée: mise en œuvre traditionnelle des membranes en bitume SBS </w:t>
      </w:r>
    </w:p>
    <w:p w:rsidR="000E2565" w:rsidRPr="000E2565" w:rsidRDefault="000E2565" w:rsidP="000E25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E2565">
        <w:rPr>
          <w:rFonts w:ascii="Times New Roman" w:eastAsia="Times New Roman" w:hAnsi="Times New Roman" w:cs="Times New Roman"/>
          <w:sz w:val="24"/>
          <w:szCs w:val="24"/>
          <w:lang w:eastAsia="fr-FR"/>
        </w:rPr>
        <w:t>Solution polyvalente: pose soudée ou fixée mécaniquement, en version monocouche ou bicouche </w:t>
      </w:r>
    </w:p>
    <w:p w:rsidR="000E2565" w:rsidRDefault="000E2565" w:rsidP="000E25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E256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Procédé breveté avec </w:t>
      </w:r>
      <w:proofErr w:type="spellStart"/>
      <w:r w:rsidRPr="000E2565">
        <w:rPr>
          <w:rFonts w:ascii="Times New Roman" w:eastAsia="Times New Roman" w:hAnsi="Times New Roman" w:cs="Times New Roman"/>
          <w:sz w:val="24"/>
          <w:szCs w:val="24"/>
          <w:lang w:eastAsia="fr-FR"/>
        </w:rPr>
        <w:t>Pass’Innovation</w:t>
      </w:r>
      <w:proofErr w:type="spellEnd"/>
      <w:r w:rsidRPr="000E256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DTA du CSTB  </w:t>
      </w:r>
    </w:p>
    <w:p w:rsidR="000E2565" w:rsidRDefault="000E2565" w:rsidP="000E25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bookmarkStart w:id="0" w:name="_GoBack"/>
      <w:bookmarkEnd w:id="0"/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0E2565" w:rsidRPr="00DD4118" w:rsidTr="00AA08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E2565" w:rsidRPr="00DD4118" w:rsidRDefault="000E2565" w:rsidP="00AA0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 w:rsidRPr="00DD41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Marchés d'application de ce produit</w:t>
            </w:r>
          </w:p>
        </w:tc>
      </w:tr>
      <w:tr w:rsidR="000E2565" w:rsidRPr="00DD4118" w:rsidTr="00AA08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E2565" w:rsidRPr="00DD4118" w:rsidRDefault="000E2565" w:rsidP="00AA0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:rsidR="000E2565" w:rsidRDefault="000E2565" w:rsidP="000E2565">
      <w:pPr>
        <w:rPr>
          <w:rStyle w:val="picto"/>
        </w:rPr>
      </w:pPr>
      <w:proofErr w:type="gramStart"/>
      <w:r>
        <w:rPr>
          <w:rStyle w:val="picto"/>
        </w:rPr>
        <w:t>maison</w:t>
      </w:r>
      <w:proofErr w:type="gramEnd"/>
      <w:r>
        <w:rPr>
          <w:rStyle w:val="picto"/>
        </w:rPr>
        <w:t xml:space="preserve"> individuelle, </w:t>
      </w:r>
      <w:r>
        <w:t xml:space="preserve"> </w:t>
      </w:r>
      <w:r>
        <w:rPr>
          <w:rStyle w:val="picto"/>
        </w:rPr>
        <w:t>logement collectif,</w:t>
      </w:r>
      <w:r>
        <w:t xml:space="preserve"> </w:t>
      </w:r>
      <w:r>
        <w:rPr>
          <w:rStyle w:val="picto"/>
        </w:rPr>
        <w:t xml:space="preserve">tertiaire, </w:t>
      </w:r>
      <w:r>
        <w:t xml:space="preserve"> </w:t>
      </w:r>
      <w:r>
        <w:rPr>
          <w:rStyle w:val="picto"/>
        </w:rPr>
        <w:t xml:space="preserve">commerce, </w:t>
      </w:r>
      <w:r>
        <w:t xml:space="preserve"> </w:t>
      </w:r>
      <w:r>
        <w:rPr>
          <w:rStyle w:val="picto"/>
        </w:rPr>
        <w:t>enseignement et culture</w:t>
      </w:r>
      <w:r>
        <w:t xml:space="preserve"> </w:t>
      </w:r>
      <w:r>
        <w:rPr>
          <w:rStyle w:val="picto"/>
        </w:rPr>
        <w:t>sport et loisirs,</w:t>
      </w:r>
      <w:r>
        <w:t xml:space="preserve"> </w:t>
      </w:r>
      <w:r>
        <w:rPr>
          <w:rStyle w:val="picto"/>
        </w:rPr>
        <w:t xml:space="preserve">santé, </w:t>
      </w:r>
      <w:r>
        <w:t xml:space="preserve"> </w:t>
      </w:r>
      <w:r>
        <w:rPr>
          <w:rStyle w:val="picto"/>
        </w:rPr>
        <w:t>hôtel et restaurant,</w:t>
      </w:r>
      <w:r>
        <w:t xml:space="preserve"> </w:t>
      </w:r>
      <w:r>
        <w:rPr>
          <w:rStyle w:val="picto"/>
        </w:rPr>
        <w:t xml:space="preserve">industrie et logistique, </w:t>
      </w:r>
      <w:r>
        <w:t xml:space="preserve"> </w:t>
      </w:r>
      <w:r>
        <w:rPr>
          <w:rStyle w:val="picto"/>
        </w:rPr>
        <w:t xml:space="preserve">aménagement urbain, </w:t>
      </w:r>
      <w:r>
        <w:t xml:space="preserve"> </w:t>
      </w:r>
      <w:r>
        <w:rPr>
          <w:rStyle w:val="picto"/>
        </w:rPr>
        <w:t>génie civil</w:t>
      </w:r>
    </w:p>
    <w:p w:rsidR="000E2565" w:rsidRDefault="000E2565"/>
    <w:sectPr w:rsidR="000E2565" w:rsidSect="0006031E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F26A7"/>
    <w:multiLevelType w:val="multilevel"/>
    <w:tmpl w:val="FCD28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118"/>
    <w:rsid w:val="0006031E"/>
    <w:rsid w:val="000E2565"/>
    <w:rsid w:val="00540CE6"/>
    <w:rsid w:val="008859BD"/>
    <w:rsid w:val="00C02B7E"/>
    <w:rsid w:val="00DD4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DD41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D4118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DD411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D41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D41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D4118"/>
    <w:rPr>
      <w:rFonts w:ascii="Tahoma" w:hAnsi="Tahoma" w:cs="Tahoma"/>
      <w:sz w:val="16"/>
      <w:szCs w:val="16"/>
    </w:rPr>
  </w:style>
  <w:style w:type="character" w:customStyle="1" w:styleId="picto">
    <w:name w:val="picto"/>
    <w:basedOn w:val="Policepardfaut"/>
    <w:rsid w:val="00DD41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DD41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D4118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DD411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D41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D41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D4118"/>
    <w:rPr>
      <w:rFonts w:ascii="Tahoma" w:hAnsi="Tahoma" w:cs="Tahoma"/>
      <w:sz w:val="16"/>
      <w:szCs w:val="16"/>
    </w:rPr>
  </w:style>
  <w:style w:type="character" w:customStyle="1" w:styleId="picto">
    <w:name w:val="picto"/>
    <w:basedOn w:val="Policepardfaut"/>
    <w:rsid w:val="00DD41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4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8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9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89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13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9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6554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96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5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3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3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40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548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24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48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225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49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169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JM</cp:lastModifiedBy>
  <cp:revision>5</cp:revision>
  <dcterms:created xsi:type="dcterms:W3CDTF">2023-10-14T10:25:00Z</dcterms:created>
  <dcterms:modified xsi:type="dcterms:W3CDTF">2023-10-14T10:32:00Z</dcterms:modified>
</cp:coreProperties>
</file>